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61" w:rsidRPr="008A39B5" w:rsidRDefault="004A7161" w:rsidP="004A7161">
      <w:pPr>
        <w:jc w:val="center"/>
        <w:rPr>
          <w:b/>
          <w:bCs/>
          <w:sz w:val="32"/>
          <w:szCs w:val="32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ge">
                  <wp:posOffset>1263650</wp:posOffset>
                </wp:positionV>
                <wp:extent cx="899795" cy="1080135"/>
                <wp:effectExtent l="5080" t="6350" r="9525" b="889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61" w:rsidRPr="004A7161" w:rsidRDefault="004A7161" w:rsidP="004A7161"/>
                          <w:p w:rsidR="004A7161" w:rsidRPr="004A7161" w:rsidRDefault="004A7161" w:rsidP="004A7161">
                            <w:pPr>
                              <w:rPr>
                                <w:lang w:eastAsia="ja-JP"/>
                              </w:rPr>
                            </w:pPr>
                            <w:r w:rsidRPr="004A7161">
                              <w:rPr>
                                <w:lang w:eastAsia="ja-JP"/>
                              </w:rPr>
                              <w:t>Photo</w:t>
                            </w:r>
                          </w:p>
                          <w:p w:rsidR="004A7161" w:rsidRPr="004A7161" w:rsidRDefault="004A7161" w:rsidP="004A7161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4A7161" w:rsidRPr="004A7161" w:rsidRDefault="004A7161" w:rsidP="004A7161">
                            <w:pPr>
                              <w:rPr>
                                <w:lang w:eastAsia="ja-JP"/>
                              </w:rPr>
                            </w:pPr>
                            <w:r w:rsidRPr="004A7161">
                              <w:rPr>
                                <w:lang w:eastAsia="ja-JP"/>
                              </w:rPr>
                              <w:t>30 ×25 mm</w:t>
                            </w:r>
                          </w:p>
                          <w:p w:rsidR="004A7161" w:rsidRPr="004A7161" w:rsidRDefault="004A7161" w:rsidP="004A7161"/>
                          <w:p w:rsidR="004A7161" w:rsidRPr="004A7161" w:rsidRDefault="004A7161" w:rsidP="004A7161"/>
                          <w:p w:rsidR="004A7161" w:rsidRPr="004A7161" w:rsidRDefault="004A7161" w:rsidP="004A7161"/>
                          <w:p w:rsidR="004A7161" w:rsidRPr="004A7161" w:rsidRDefault="004A7161" w:rsidP="004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1pt;margin-top:99.5pt;width:70.85pt;height:85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">
                <v:textbox>
                  <w:txbxContent>
                    <w:p w:rsidR="004A7161" w:rsidRPr="004A7161" w:rsidRDefault="004A7161" w:rsidP="004A7161"/>
                    <w:p w:rsidR="004A7161" w:rsidRPr="004A7161" w:rsidRDefault="004A7161" w:rsidP="004A7161">
                      <w:pPr>
                        <w:rPr>
                          <w:lang w:eastAsia="ja-JP"/>
                        </w:rPr>
                      </w:pPr>
                      <w:r w:rsidRPr="004A7161">
                        <w:rPr>
                          <w:lang w:eastAsia="ja-JP"/>
                        </w:rPr>
                        <w:t>Photo</w:t>
                      </w:r>
                    </w:p>
                    <w:p w:rsidR="004A7161" w:rsidRPr="004A7161" w:rsidRDefault="004A7161" w:rsidP="004A7161">
                      <w:pPr>
                        <w:rPr>
                          <w:lang w:eastAsia="ja-JP"/>
                        </w:rPr>
                      </w:pPr>
                    </w:p>
                    <w:p w:rsidR="004A7161" w:rsidRPr="004A7161" w:rsidRDefault="004A7161" w:rsidP="004A7161">
                      <w:pPr>
                        <w:rPr>
                          <w:lang w:eastAsia="ja-JP"/>
                        </w:rPr>
                      </w:pPr>
                      <w:r w:rsidRPr="004A7161">
                        <w:rPr>
                          <w:lang w:eastAsia="ja-JP"/>
                        </w:rPr>
                        <w:t>30 ×25 mm</w:t>
                      </w:r>
                    </w:p>
                    <w:p w:rsidR="004A7161" w:rsidRPr="004A7161" w:rsidRDefault="004A7161" w:rsidP="004A7161"/>
                    <w:p w:rsidR="004A7161" w:rsidRPr="004A7161" w:rsidRDefault="004A7161" w:rsidP="004A7161"/>
                    <w:p w:rsidR="004A7161" w:rsidRPr="004A7161" w:rsidRDefault="004A7161" w:rsidP="004A7161"/>
                    <w:p w:rsidR="004A7161" w:rsidRPr="004A7161" w:rsidRDefault="004A7161" w:rsidP="004A7161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bCs/>
          <w:sz w:val="32"/>
          <w:szCs w:val="32"/>
        </w:rPr>
        <w:t>Title of the abstract</w:t>
      </w:r>
    </w:p>
    <w:p w:rsidR="004A7161" w:rsidRDefault="004A7161" w:rsidP="004A7161">
      <w:pPr>
        <w:jc w:val="center"/>
      </w:pPr>
    </w:p>
    <w:p w:rsidR="004A7161" w:rsidRDefault="004A7161" w:rsidP="004A7161">
      <w:pPr>
        <w:jc w:val="center"/>
        <w:rPr>
          <w:sz w:val="24"/>
          <w:szCs w:val="24"/>
        </w:rPr>
      </w:pPr>
      <w:r>
        <w:rPr>
          <w:sz w:val="24"/>
          <w:szCs w:val="24"/>
        </w:rPr>
        <w:t>Presenting author</w:t>
      </w:r>
    </w:p>
    <w:p w:rsidR="004A7161" w:rsidRPr="008A39B5" w:rsidRDefault="004A7161" w:rsidP="004A716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Affiliation</w:t>
      </w:r>
    </w:p>
    <w:p w:rsidR="004A7161" w:rsidRPr="008A39B5" w:rsidRDefault="004A7161" w:rsidP="004A7161">
      <w:pPr>
        <w:jc w:val="center"/>
        <w:rPr>
          <w:rStyle w:val="a7"/>
          <w:i/>
          <w:color w:val="auto"/>
          <w:sz w:val="24"/>
          <w:szCs w:val="24"/>
        </w:rPr>
      </w:pPr>
      <w:r>
        <w:rPr>
          <w:i/>
          <w:sz w:val="24"/>
          <w:szCs w:val="24"/>
        </w:rPr>
        <w:t>e-mail address</w:t>
      </w:r>
    </w:p>
    <w:p w:rsidR="004A7161" w:rsidRDefault="004A7161" w:rsidP="004A7161">
      <w:pPr>
        <w:jc w:val="center"/>
      </w:pPr>
    </w:p>
    <w:p w:rsidR="004A7161" w:rsidRDefault="004A7161" w:rsidP="004A7161">
      <w:pPr>
        <w:ind w:firstLine="720"/>
        <w:jc w:val="both"/>
        <w:rPr>
          <w:sz w:val="24"/>
          <w:szCs w:val="24"/>
        </w:rPr>
      </w:pPr>
    </w:p>
    <w:p w:rsidR="004A7161" w:rsidRDefault="004A7161" w:rsidP="004A716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text should be given in English using MS Word formats (12-point font Times New Roman). The text should not occupy more than one full A4 page. </w:t>
      </w:r>
    </w:p>
    <w:p w:rsidR="004A7161" w:rsidRPr="00247D2E" w:rsidRDefault="004A7161" w:rsidP="004A7161">
      <w:pPr>
        <w:ind w:firstLine="720"/>
        <w:jc w:val="both"/>
        <w:rPr>
          <w:rFonts w:hint="eastAsia"/>
          <w:snapToGrid/>
          <w:color w:val="000000"/>
          <w:sz w:val="24"/>
          <w:szCs w:val="24"/>
          <w:lang w:val="en-AU" w:eastAsia="ja-JP"/>
        </w:rPr>
      </w:pPr>
      <w:r>
        <w:rPr>
          <w:sz w:val="24"/>
          <w:szCs w:val="24"/>
        </w:rPr>
        <w:t>Next page is an example.</w:t>
      </w:r>
    </w:p>
    <w:p w:rsidR="004A7161" w:rsidRDefault="004A7161" w:rsidP="004A7161">
      <w:pPr>
        <w:rPr>
          <w:sz w:val="24"/>
          <w:szCs w:val="24"/>
          <w:lang w:val="en-AU"/>
        </w:rPr>
      </w:pPr>
    </w:p>
    <w:p w:rsidR="004A7161" w:rsidRPr="00247D2E" w:rsidRDefault="004A7161" w:rsidP="004A7161">
      <w:pPr>
        <w:rPr>
          <w:sz w:val="24"/>
          <w:szCs w:val="24"/>
          <w:lang w:val="en-AU"/>
        </w:rPr>
      </w:pPr>
    </w:p>
    <w:p w:rsidR="004A7161" w:rsidRPr="00247D2E" w:rsidRDefault="004A7161" w:rsidP="004A7161">
      <w:pPr>
        <w:rPr>
          <w:b/>
          <w:sz w:val="24"/>
          <w:szCs w:val="24"/>
          <w:lang w:val="en-AU"/>
        </w:rPr>
      </w:pPr>
      <w:r w:rsidRPr="00247D2E">
        <w:rPr>
          <w:b/>
          <w:sz w:val="24"/>
          <w:szCs w:val="24"/>
          <w:lang w:val="en-AU"/>
        </w:rPr>
        <w:t>References</w:t>
      </w:r>
    </w:p>
    <w:p w:rsidR="004A7161" w:rsidRDefault="004A7161" w:rsidP="004A7161">
      <w:pPr>
        <w:numPr>
          <w:ilvl w:val="0"/>
          <w:numId w:val="2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Author, </w:t>
      </w:r>
      <w:r w:rsidRPr="000D266D">
        <w:rPr>
          <w:i/>
          <w:sz w:val="24"/>
          <w:szCs w:val="24"/>
          <w:lang w:val="en-AU"/>
        </w:rPr>
        <w:t>Journal</w:t>
      </w:r>
      <w:r>
        <w:rPr>
          <w:sz w:val="24"/>
          <w:szCs w:val="24"/>
          <w:lang w:val="en-AU"/>
        </w:rPr>
        <w:t xml:space="preserve">, </w:t>
      </w:r>
      <w:r w:rsidRPr="000D266D">
        <w:rPr>
          <w:b/>
          <w:sz w:val="24"/>
          <w:szCs w:val="24"/>
          <w:lang w:val="en-AU"/>
        </w:rPr>
        <w:t>Year</w:t>
      </w:r>
      <w:r>
        <w:rPr>
          <w:sz w:val="24"/>
          <w:szCs w:val="24"/>
          <w:lang w:val="en-AU"/>
        </w:rPr>
        <w:t xml:space="preserve">, </w:t>
      </w:r>
      <w:r w:rsidRPr="000D266D">
        <w:rPr>
          <w:i/>
          <w:sz w:val="24"/>
          <w:szCs w:val="24"/>
          <w:lang w:val="en-AU"/>
        </w:rPr>
        <w:t>vol</w:t>
      </w:r>
      <w:r>
        <w:rPr>
          <w:sz w:val="24"/>
          <w:szCs w:val="24"/>
          <w:lang w:val="en-AU"/>
        </w:rPr>
        <w:t>, page.</w:t>
      </w:r>
    </w:p>
    <w:p w:rsidR="004A7161" w:rsidRPr="008A39B5" w:rsidRDefault="004A7161" w:rsidP="004A7161">
      <w:pPr>
        <w:numPr>
          <w:ilvl w:val="0"/>
          <w:numId w:val="2"/>
        </w:numPr>
        <w:rPr>
          <w:sz w:val="24"/>
          <w:szCs w:val="24"/>
          <w:lang w:val="en-AU"/>
        </w:rPr>
      </w:pPr>
    </w:p>
    <w:p w:rsidR="004A7161" w:rsidRPr="008A39B5" w:rsidRDefault="004A7161" w:rsidP="004A7161">
      <w:pPr>
        <w:ind w:left="284" w:hanging="284"/>
        <w:rPr>
          <w:sz w:val="24"/>
          <w:szCs w:val="24"/>
          <w:lang w:val="en-AU"/>
        </w:rPr>
      </w:pPr>
      <w:r w:rsidRPr="008A39B5">
        <w:rPr>
          <w:sz w:val="24"/>
          <w:szCs w:val="24"/>
          <w:lang w:val="en-AU"/>
        </w:rPr>
        <w:t xml:space="preserve"> </w:t>
      </w:r>
    </w:p>
    <w:p w:rsidR="004A7161" w:rsidRDefault="004A7161">
      <w:pPr>
        <w:widowControl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B2507D" w:rsidRDefault="004A7161" w:rsidP="00C30834">
      <w:pPr>
        <w:jc w:val="center"/>
        <w:rPr>
          <w:b/>
          <w:bCs/>
          <w:sz w:val="32"/>
          <w:szCs w:val="32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FA09E2A" wp14:editId="1FE06CAE">
                <wp:simplePos x="0" y="0"/>
                <wp:positionH relativeFrom="margin">
                  <wp:align>right</wp:align>
                </wp:positionH>
                <wp:positionV relativeFrom="page">
                  <wp:posOffset>1273810</wp:posOffset>
                </wp:positionV>
                <wp:extent cx="899795" cy="1080135"/>
                <wp:effectExtent l="0" t="0" r="14605" b="2476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161" w:rsidRPr="004A7161" w:rsidRDefault="004A7161" w:rsidP="004A7161"/>
                          <w:p w:rsidR="004A7161" w:rsidRPr="004A7161" w:rsidRDefault="004A7161" w:rsidP="004A7161">
                            <w:pPr>
                              <w:rPr>
                                <w:lang w:eastAsia="ja-JP"/>
                              </w:rPr>
                            </w:pPr>
                            <w:r w:rsidRPr="004A7161">
                              <w:rPr>
                                <w:lang w:eastAsia="ja-JP"/>
                              </w:rPr>
                              <w:t>Photo</w:t>
                            </w:r>
                          </w:p>
                          <w:p w:rsidR="004A7161" w:rsidRPr="004A7161" w:rsidRDefault="004A7161" w:rsidP="004A7161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4A7161" w:rsidRPr="004A7161" w:rsidRDefault="004A7161" w:rsidP="004A7161">
                            <w:pPr>
                              <w:rPr>
                                <w:lang w:eastAsia="ja-JP"/>
                              </w:rPr>
                            </w:pPr>
                            <w:r w:rsidRPr="004A7161">
                              <w:rPr>
                                <w:lang w:eastAsia="ja-JP"/>
                              </w:rPr>
                              <w:t>30 ×25 mm</w:t>
                            </w:r>
                          </w:p>
                          <w:p w:rsidR="004A7161" w:rsidRPr="004A7161" w:rsidRDefault="004A7161" w:rsidP="004A7161"/>
                          <w:p w:rsidR="004A7161" w:rsidRPr="004A7161" w:rsidRDefault="004A7161" w:rsidP="004A7161"/>
                          <w:p w:rsidR="004A7161" w:rsidRPr="004A7161" w:rsidRDefault="004A7161" w:rsidP="004A7161"/>
                          <w:p w:rsidR="004A7161" w:rsidRPr="004A7161" w:rsidRDefault="004A7161" w:rsidP="004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09E2A" id="テキスト ボックス 2" o:spid="_x0000_s1027" type="#_x0000_t202" style="position:absolute;left:0;text-align:left;margin-left:19.65pt;margin-top:100.3pt;width:70.85pt;height:85.05pt;z-index:251661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">
                <v:textbox>
                  <w:txbxContent>
                    <w:p w:rsidR="004A7161" w:rsidRPr="004A7161" w:rsidRDefault="004A7161" w:rsidP="004A7161"/>
                    <w:p w:rsidR="004A7161" w:rsidRPr="004A7161" w:rsidRDefault="004A7161" w:rsidP="004A7161">
                      <w:pPr>
                        <w:rPr>
                          <w:lang w:eastAsia="ja-JP"/>
                        </w:rPr>
                      </w:pPr>
                      <w:r w:rsidRPr="004A7161">
                        <w:rPr>
                          <w:lang w:eastAsia="ja-JP"/>
                        </w:rPr>
                        <w:t>Photo</w:t>
                      </w:r>
                    </w:p>
                    <w:p w:rsidR="004A7161" w:rsidRPr="004A7161" w:rsidRDefault="004A7161" w:rsidP="004A7161">
                      <w:pPr>
                        <w:rPr>
                          <w:lang w:eastAsia="ja-JP"/>
                        </w:rPr>
                      </w:pPr>
                    </w:p>
                    <w:p w:rsidR="004A7161" w:rsidRPr="004A7161" w:rsidRDefault="004A7161" w:rsidP="004A7161">
                      <w:pPr>
                        <w:rPr>
                          <w:lang w:eastAsia="ja-JP"/>
                        </w:rPr>
                      </w:pPr>
                      <w:r w:rsidRPr="004A7161">
                        <w:rPr>
                          <w:lang w:eastAsia="ja-JP"/>
                        </w:rPr>
                        <w:t>30 ×25 mm</w:t>
                      </w:r>
                    </w:p>
                    <w:p w:rsidR="004A7161" w:rsidRPr="004A7161" w:rsidRDefault="004A7161" w:rsidP="004A7161"/>
                    <w:p w:rsidR="004A7161" w:rsidRPr="004A7161" w:rsidRDefault="004A7161" w:rsidP="004A7161"/>
                    <w:p w:rsidR="004A7161" w:rsidRPr="004A7161" w:rsidRDefault="004A7161" w:rsidP="004A7161"/>
                    <w:p w:rsidR="004A7161" w:rsidRPr="004A7161" w:rsidRDefault="004A7161" w:rsidP="004A7161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B2507D" w:rsidRPr="00B2507D">
        <w:rPr>
          <w:b/>
          <w:bCs/>
          <w:sz w:val="32"/>
          <w:szCs w:val="32"/>
        </w:rPr>
        <w:t xml:space="preserve">Use of phase transition </w:t>
      </w:r>
    </w:p>
    <w:p w:rsidR="00C30834" w:rsidRPr="008A39B5" w:rsidRDefault="00B2507D" w:rsidP="00C30834">
      <w:pPr>
        <w:jc w:val="center"/>
        <w:rPr>
          <w:b/>
          <w:bCs/>
          <w:sz w:val="32"/>
          <w:szCs w:val="32"/>
        </w:rPr>
      </w:pPr>
      <w:r w:rsidRPr="00B2507D">
        <w:rPr>
          <w:b/>
          <w:bCs/>
          <w:sz w:val="32"/>
          <w:szCs w:val="32"/>
        </w:rPr>
        <w:t>for electrochemical thermoelectric conversion</w:t>
      </w:r>
    </w:p>
    <w:p w:rsidR="00205F6A" w:rsidRDefault="00205F6A" w:rsidP="00BF2ACF">
      <w:pPr>
        <w:jc w:val="center"/>
      </w:pPr>
    </w:p>
    <w:p w:rsidR="00004AA5" w:rsidRDefault="00B2507D" w:rsidP="00BF2AC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Teppei Yamada</w:t>
      </w:r>
    </w:p>
    <w:p w:rsidR="00BF2ACF" w:rsidRPr="008A39B5" w:rsidRDefault="00B2507D" w:rsidP="00936D3A">
      <w:pPr>
        <w:jc w:val="center"/>
        <w:rPr>
          <w:i/>
          <w:sz w:val="24"/>
          <w:szCs w:val="24"/>
        </w:rPr>
      </w:pPr>
      <w:r>
        <w:rPr>
          <w:rFonts w:hint="eastAsia"/>
          <w:i/>
          <w:sz w:val="24"/>
          <w:szCs w:val="24"/>
          <w:lang w:eastAsia="ja-JP"/>
        </w:rPr>
        <w:t>Department of Chemistry, The University of Tokyo</w:t>
      </w:r>
    </w:p>
    <w:p w:rsidR="00BF2ACF" w:rsidRPr="008A39B5" w:rsidRDefault="00B2507D" w:rsidP="00936D3A">
      <w:pPr>
        <w:jc w:val="center"/>
        <w:rPr>
          <w:rStyle w:val="a7"/>
          <w:i/>
          <w:color w:val="auto"/>
          <w:sz w:val="24"/>
          <w:szCs w:val="24"/>
        </w:rPr>
      </w:pPr>
      <w:r>
        <w:rPr>
          <w:rFonts w:hint="eastAsia"/>
          <w:i/>
          <w:sz w:val="24"/>
          <w:szCs w:val="24"/>
          <w:lang w:eastAsia="ja-JP"/>
        </w:rPr>
        <w:t>teppei@chem</w:t>
      </w:r>
      <w:bookmarkStart w:id="0" w:name="_GoBack"/>
      <w:bookmarkEnd w:id="0"/>
      <w:r>
        <w:rPr>
          <w:rFonts w:hint="eastAsia"/>
          <w:i/>
          <w:sz w:val="24"/>
          <w:szCs w:val="24"/>
          <w:lang w:eastAsia="ja-JP"/>
        </w:rPr>
        <w:t>.s.u-tokyo.ac.jp</w:t>
      </w:r>
    </w:p>
    <w:p w:rsidR="00004AA5" w:rsidRDefault="00004AA5">
      <w:pPr>
        <w:jc w:val="center"/>
      </w:pPr>
    </w:p>
    <w:p w:rsidR="00B2507D" w:rsidRDefault="00B2507D" w:rsidP="008A39B5">
      <w:pPr>
        <w:ind w:firstLine="72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Thermocells are the emerging class of thermoelectric conversion </w:t>
      </w:r>
      <w:r w:rsidR="004D4415">
        <w:rPr>
          <w:sz w:val="24"/>
          <w:szCs w:val="24"/>
          <w:lang w:eastAsia="ja-JP"/>
        </w:rPr>
        <w:t>devices</w:t>
      </w:r>
      <w:r>
        <w:rPr>
          <w:rFonts w:hint="eastAsia"/>
          <w:sz w:val="24"/>
          <w:szCs w:val="24"/>
          <w:lang w:eastAsia="ja-JP"/>
        </w:rPr>
        <w:t xml:space="preserve">. It consists of the solution of the redox species, and the temperature dependence of the redox equilibrium </w:t>
      </w:r>
      <w:r w:rsidR="00D1677E">
        <w:rPr>
          <w:sz w:val="24"/>
          <w:szCs w:val="24"/>
          <w:lang w:eastAsia="ja-JP"/>
        </w:rPr>
        <w:t>provides</w:t>
      </w:r>
      <w:r>
        <w:rPr>
          <w:rFonts w:hint="eastAsia"/>
          <w:sz w:val="24"/>
          <w:szCs w:val="24"/>
          <w:lang w:eastAsia="ja-JP"/>
        </w:rPr>
        <w:t xml:space="preserve"> the thermoelectric voltage by temperature gradient. </w:t>
      </w:r>
    </w:p>
    <w:p w:rsidR="00B2507D" w:rsidRPr="00B2507D" w:rsidRDefault="00B2507D" w:rsidP="008A39B5">
      <w:pPr>
        <w:ind w:firstLine="720"/>
        <w:jc w:val="both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We have challenged to improve the performance of the thermocell, by introducing host-guest chemistry</w:t>
      </w:r>
      <w:r w:rsidRPr="00B2507D">
        <w:rPr>
          <w:rFonts w:hint="eastAsia"/>
          <w:sz w:val="24"/>
          <w:szCs w:val="24"/>
          <w:vertAlign w:val="superscript"/>
          <w:lang w:eastAsia="ja-JP"/>
        </w:rPr>
        <w:t>1,2</w:t>
      </w:r>
      <w:r>
        <w:rPr>
          <w:rFonts w:hint="eastAsia"/>
          <w:sz w:val="24"/>
          <w:szCs w:val="24"/>
          <w:lang w:eastAsia="ja-JP"/>
        </w:rPr>
        <w:t>, PCET reaction</w:t>
      </w:r>
      <w:r w:rsidRPr="00B2507D">
        <w:rPr>
          <w:rFonts w:hint="eastAsia"/>
          <w:sz w:val="24"/>
          <w:szCs w:val="24"/>
          <w:vertAlign w:val="superscript"/>
          <w:lang w:eastAsia="ja-JP"/>
        </w:rPr>
        <w:t>3,4</w:t>
      </w:r>
      <w:r>
        <w:rPr>
          <w:rFonts w:hint="eastAsia"/>
          <w:sz w:val="24"/>
          <w:szCs w:val="24"/>
          <w:lang w:eastAsia="ja-JP"/>
        </w:rPr>
        <w:t xml:space="preserve">, </w:t>
      </w:r>
      <w:r w:rsidR="00D1677E">
        <w:rPr>
          <w:rFonts w:hint="eastAsia"/>
          <w:sz w:val="24"/>
          <w:szCs w:val="24"/>
          <w:lang w:eastAsia="ja-JP"/>
        </w:rPr>
        <w:t xml:space="preserve">use of </w:t>
      </w:r>
      <w:r>
        <w:rPr>
          <w:rFonts w:hint="eastAsia"/>
          <w:sz w:val="24"/>
          <w:szCs w:val="24"/>
          <w:lang w:eastAsia="ja-JP"/>
        </w:rPr>
        <w:t>mixed solvent</w:t>
      </w:r>
      <w:r w:rsidRPr="00B2507D">
        <w:rPr>
          <w:rFonts w:hint="eastAsia"/>
          <w:sz w:val="24"/>
          <w:szCs w:val="24"/>
          <w:vertAlign w:val="superscript"/>
          <w:lang w:eastAsia="ja-JP"/>
        </w:rPr>
        <w:t>5</w:t>
      </w:r>
      <w:r>
        <w:rPr>
          <w:rFonts w:hint="eastAsia"/>
          <w:sz w:val="24"/>
          <w:szCs w:val="24"/>
          <w:lang w:eastAsia="ja-JP"/>
        </w:rPr>
        <w:t xml:space="preserve"> </w:t>
      </w:r>
      <w:r w:rsidR="00D1677E">
        <w:rPr>
          <w:rFonts w:hint="eastAsia"/>
          <w:sz w:val="24"/>
          <w:szCs w:val="24"/>
          <w:lang w:eastAsia="ja-JP"/>
        </w:rPr>
        <w:t>or deep-eutectic solvent</w:t>
      </w:r>
      <w:r w:rsidR="00D1677E" w:rsidRPr="00D1677E">
        <w:rPr>
          <w:rFonts w:hint="eastAsia"/>
          <w:sz w:val="24"/>
          <w:szCs w:val="24"/>
          <w:vertAlign w:val="superscript"/>
          <w:lang w:eastAsia="ja-JP"/>
        </w:rPr>
        <w:t>6</w:t>
      </w:r>
      <w:r w:rsidR="00D1677E">
        <w:rPr>
          <w:rFonts w:hint="eastAsia"/>
          <w:sz w:val="24"/>
          <w:szCs w:val="24"/>
          <w:lang w:eastAsia="ja-JP"/>
        </w:rPr>
        <w:t xml:space="preserve"> </w:t>
      </w:r>
      <w:r>
        <w:rPr>
          <w:rFonts w:hint="eastAsia"/>
          <w:sz w:val="24"/>
          <w:szCs w:val="24"/>
          <w:lang w:eastAsia="ja-JP"/>
        </w:rPr>
        <w:t>and the improvement of cell configuration</w:t>
      </w:r>
      <w:r w:rsidR="00D1677E">
        <w:rPr>
          <w:rFonts w:hint="eastAsia"/>
          <w:sz w:val="24"/>
          <w:szCs w:val="24"/>
          <w:vertAlign w:val="superscript"/>
          <w:lang w:eastAsia="ja-JP"/>
        </w:rPr>
        <w:t>7</w:t>
      </w:r>
      <w:r>
        <w:rPr>
          <w:rFonts w:hint="eastAsia"/>
          <w:sz w:val="24"/>
          <w:szCs w:val="24"/>
          <w:lang w:eastAsia="ja-JP"/>
        </w:rPr>
        <w:t>.</w:t>
      </w:r>
    </w:p>
    <w:p w:rsidR="00B2507D" w:rsidRDefault="004A7161" w:rsidP="008A39B5">
      <w:pPr>
        <w:ind w:firstLine="720"/>
        <w:jc w:val="both"/>
        <w:rPr>
          <w:sz w:val="24"/>
          <w:szCs w:val="24"/>
          <w:lang w:eastAsia="ja-JP"/>
        </w:rPr>
      </w:pPr>
      <w:r>
        <w:rPr>
          <w:rFonts w:hint="eastAsia"/>
          <w:noProof/>
          <w:snapToGrid/>
          <w:sz w:val="24"/>
          <w:szCs w:val="24"/>
          <w:lang w:eastAsia="ja-JP"/>
        </w:rPr>
        <w:drawing>
          <wp:anchor distT="0" distB="0" distL="114300" distR="114300" simplePos="0" relativeHeight="251657728" behindDoc="0" locked="0" layoutInCell="1" allowOverlap="1" wp14:anchorId="479E28AE" wp14:editId="198B66E4">
            <wp:simplePos x="0" y="0"/>
            <wp:positionH relativeFrom="column">
              <wp:posOffset>3700145</wp:posOffset>
            </wp:positionH>
            <wp:positionV relativeFrom="paragraph">
              <wp:posOffset>1270</wp:posOffset>
            </wp:positionV>
            <wp:extent cx="1696720" cy="254952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07D">
        <w:rPr>
          <w:rFonts w:hint="eastAsia"/>
          <w:sz w:val="24"/>
          <w:szCs w:val="24"/>
          <w:lang w:eastAsia="ja-JP"/>
        </w:rPr>
        <w:t>The thermoelectric voltage is one of the important parameters for improving the thermoelectric conversion efficiency</w:t>
      </w:r>
      <w:r w:rsidR="00D1677E">
        <w:rPr>
          <w:rFonts w:hint="eastAsia"/>
          <w:sz w:val="24"/>
          <w:szCs w:val="24"/>
          <w:lang w:eastAsia="ja-JP"/>
        </w:rPr>
        <w:t>.</w:t>
      </w:r>
      <w:r w:rsidR="00B2507D">
        <w:rPr>
          <w:rFonts w:hint="eastAsia"/>
          <w:sz w:val="24"/>
          <w:szCs w:val="24"/>
          <w:lang w:eastAsia="ja-JP"/>
        </w:rPr>
        <w:t xml:space="preserve"> </w:t>
      </w:r>
      <w:r w:rsidR="00D1677E">
        <w:rPr>
          <w:rFonts w:hint="eastAsia"/>
          <w:sz w:val="24"/>
          <w:szCs w:val="24"/>
          <w:lang w:eastAsia="ja-JP"/>
        </w:rPr>
        <w:t xml:space="preserve">We recently focused on the redox-correlated phase transition phenomena because it shows the drastic change within the small temperature difference. We modified </w:t>
      </w:r>
      <w:r w:rsidR="00D1677E">
        <w:rPr>
          <w:sz w:val="24"/>
          <w:szCs w:val="24"/>
          <w:lang w:eastAsia="ja-JP"/>
        </w:rPr>
        <w:t>the viologen</w:t>
      </w:r>
      <w:r w:rsidR="00D1677E">
        <w:rPr>
          <w:rFonts w:hint="eastAsia"/>
          <w:sz w:val="24"/>
          <w:szCs w:val="24"/>
          <w:lang w:eastAsia="ja-JP"/>
        </w:rPr>
        <w:t xml:space="preserve"> unit into poly-(</w:t>
      </w:r>
      <w:r w:rsidR="00D1677E" w:rsidRPr="00D1677E">
        <w:rPr>
          <w:rFonts w:hint="eastAsia"/>
          <w:i/>
          <w:iCs/>
          <w:sz w:val="24"/>
          <w:szCs w:val="24"/>
          <w:lang w:eastAsia="ja-JP"/>
        </w:rPr>
        <w:t>N</w:t>
      </w:r>
      <w:r w:rsidR="00D1677E">
        <w:rPr>
          <w:rFonts w:hint="eastAsia"/>
          <w:sz w:val="24"/>
          <w:szCs w:val="24"/>
          <w:lang w:eastAsia="ja-JP"/>
        </w:rPr>
        <w:t xml:space="preserve">-isopropyl)acrylamide (PNIPAM). PNIPAM is widely </w:t>
      </w:r>
      <w:r w:rsidR="00D1677E">
        <w:rPr>
          <w:sz w:val="24"/>
          <w:szCs w:val="24"/>
          <w:lang w:eastAsia="ja-JP"/>
        </w:rPr>
        <w:t>know</w:t>
      </w:r>
      <w:r w:rsidR="00D1677E">
        <w:rPr>
          <w:rFonts w:hint="eastAsia"/>
          <w:sz w:val="24"/>
          <w:szCs w:val="24"/>
          <w:lang w:eastAsia="ja-JP"/>
        </w:rPr>
        <w:t>n to show phase-transition between hydrophilic coil- to hydrophobic globule conformations.</w:t>
      </w:r>
      <w:r w:rsidR="00D1677E" w:rsidRPr="00D1677E">
        <w:rPr>
          <w:rFonts w:hint="eastAsia"/>
          <w:sz w:val="24"/>
          <w:szCs w:val="24"/>
          <w:vertAlign w:val="superscript"/>
          <w:lang w:eastAsia="ja-JP"/>
        </w:rPr>
        <w:t>8</w:t>
      </w:r>
      <w:r w:rsidR="00D1677E">
        <w:rPr>
          <w:rFonts w:hint="eastAsia"/>
          <w:sz w:val="24"/>
          <w:szCs w:val="24"/>
          <w:lang w:eastAsia="ja-JP"/>
        </w:rPr>
        <w:t xml:space="preserve"> The phase transition temperature changes by changing the redox state of viologen site, and as a result we can change the phase of the polymer by external electric current. </w:t>
      </w:r>
      <w:r w:rsidR="00D1677E">
        <w:rPr>
          <w:sz w:val="24"/>
          <w:szCs w:val="24"/>
          <w:lang w:eastAsia="ja-JP"/>
        </w:rPr>
        <w:t>Also,</w:t>
      </w:r>
      <w:r w:rsidR="00D1677E">
        <w:rPr>
          <w:rFonts w:hint="eastAsia"/>
          <w:sz w:val="24"/>
          <w:szCs w:val="24"/>
          <w:lang w:eastAsia="ja-JP"/>
        </w:rPr>
        <w:t xml:space="preserve"> the redox potential </w:t>
      </w:r>
      <w:r w:rsidR="004D4415">
        <w:rPr>
          <w:sz w:val="24"/>
          <w:szCs w:val="24"/>
          <w:lang w:eastAsia="ja-JP"/>
        </w:rPr>
        <w:t>shifts</w:t>
      </w:r>
      <w:r w:rsidR="00D1677E">
        <w:rPr>
          <w:rFonts w:hint="eastAsia"/>
          <w:sz w:val="24"/>
          <w:szCs w:val="24"/>
          <w:lang w:eastAsia="ja-JP"/>
        </w:rPr>
        <w:t xml:space="preserve"> by the phase transition and produce thermoelectric voltage associated with the phase transition entropy.</w:t>
      </w:r>
    </w:p>
    <w:p w:rsidR="00D1677E" w:rsidRDefault="00D1677E" w:rsidP="008A39B5">
      <w:pPr>
        <w:ind w:firstLine="72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By modifying carboxyl groups onto PNIPAM, the pH of the solvent changes by changing </w:t>
      </w:r>
      <w:r>
        <w:rPr>
          <w:sz w:val="24"/>
          <w:szCs w:val="24"/>
          <w:lang w:eastAsia="ja-JP"/>
        </w:rPr>
        <w:t>temperature</w:t>
      </w:r>
      <w:r>
        <w:rPr>
          <w:rFonts w:hint="eastAsia"/>
          <w:sz w:val="24"/>
          <w:szCs w:val="24"/>
          <w:lang w:eastAsia="ja-JP"/>
        </w:rPr>
        <w:t xml:space="preserve">. We succeeded in changing the redox potential of </w:t>
      </w:r>
      <w:r>
        <w:rPr>
          <w:sz w:val="24"/>
          <w:szCs w:val="24"/>
          <w:lang w:eastAsia="ja-JP"/>
        </w:rPr>
        <w:t>quinhydrone</w:t>
      </w:r>
      <w:r>
        <w:rPr>
          <w:rFonts w:hint="eastAsia"/>
          <w:sz w:val="24"/>
          <w:szCs w:val="24"/>
          <w:lang w:eastAsia="ja-JP"/>
        </w:rPr>
        <w:t xml:space="preserve"> (1:1 mixture of p-quinone and p-hydroquinone) by changin</w:t>
      </w:r>
      <w:r w:rsidR="004D4415">
        <w:rPr>
          <w:rFonts w:hint="eastAsia"/>
          <w:sz w:val="24"/>
          <w:szCs w:val="24"/>
          <w:lang w:eastAsia="ja-JP"/>
        </w:rPr>
        <w:t xml:space="preserve">g pH. The Seebeck coefficient (obtained voltage by unit temperature difference) of the system reaches </w:t>
      </w:r>
      <w:r w:rsidR="004D4415">
        <w:rPr>
          <w:sz w:val="24"/>
          <w:szCs w:val="24"/>
          <w:lang w:eastAsia="ja-JP"/>
        </w:rPr>
        <w:t>−</w:t>
      </w:r>
      <w:r w:rsidR="004D4415">
        <w:rPr>
          <w:rFonts w:hint="eastAsia"/>
          <w:sz w:val="24"/>
          <w:szCs w:val="24"/>
          <w:lang w:eastAsia="ja-JP"/>
        </w:rPr>
        <w:t xml:space="preserve">6.2 mV/K, </w:t>
      </w:r>
      <w:r w:rsidR="004D4415">
        <w:rPr>
          <w:sz w:val="24"/>
          <w:szCs w:val="24"/>
          <w:lang w:eastAsia="ja-JP"/>
        </w:rPr>
        <w:t>and</w:t>
      </w:r>
      <w:r w:rsidR="004D4415">
        <w:rPr>
          <w:rFonts w:hint="eastAsia"/>
          <w:sz w:val="24"/>
          <w:szCs w:val="24"/>
          <w:lang w:eastAsia="ja-JP"/>
        </w:rPr>
        <w:t xml:space="preserve"> +6.6 mV/K by modifying amino groups instead of carboxyl groups.</w:t>
      </w:r>
    </w:p>
    <w:p w:rsidR="000F1B7C" w:rsidRPr="00247D2E" w:rsidRDefault="004D4415" w:rsidP="004D4415">
      <w:pPr>
        <w:ind w:firstLine="720"/>
        <w:jc w:val="both"/>
        <w:rPr>
          <w:sz w:val="24"/>
          <w:szCs w:val="24"/>
          <w:lang w:val="en-AU"/>
        </w:rPr>
      </w:pPr>
      <w:r>
        <w:rPr>
          <w:rFonts w:hint="eastAsia"/>
          <w:sz w:val="24"/>
          <w:szCs w:val="24"/>
          <w:lang w:eastAsia="ja-JP"/>
        </w:rPr>
        <w:t xml:space="preserve">I would like to provide our recent effort on the </w:t>
      </w:r>
      <w:r>
        <w:rPr>
          <w:sz w:val="24"/>
          <w:szCs w:val="24"/>
          <w:lang w:eastAsia="ja-JP"/>
        </w:rPr>
        <w:t>correlation</w:t>
      </w:r>
      <w:r>
        <w:rPr>
          <w:rFonts w:hint="eastAsia"/>
          <w:sz w:val="24"/>
          <w:szCs w:val="24"/>
          <w:lang w:eastAsia="ja-JP"/>
        </w:rPr>
        <w:t xml:space="preserve"> of redox reaction and micelle formation or plastic crystal phase transition. </w:t>
      </w:r>
    </w:p>
    <w:p w:rsidR="008A39B5" w:rsidRPr="00247D2E" w:rsidRDefault="008A39B5" w:rsidP="00EA5F2D">
      <w:pPr>
        <w:spacing w:beforeLines="50" w:before="120"/>
        <w:rPr>
          <w:b/>
          <w:sz w:val="24"/>
          <w:szCs w:val="24"/>
          <w:lang w:val="en-AU"/>
        </w:rPr>
      </w:pPr>
      <w:r w:rsidRPr="00247D2E">
        <w:rPr>
          <w:b/>
          <w:sz w:val="24"/>
          <w:szCs w:val="24"/>
          <w:lang w:val="en-AU"/>
        </w:rPr>
        <w:t>References</w:t>
      </w:r>
    </w:p>
    <w:p w:rsidR="00B2507D" w:rsidRDefault="00B2507D">
      <w:pPr>
        <w:numPr>
          <w:ilvl w:val="0"/>
          <w:numId w:val="2"/>
        </w:numPr>
        <w:rPr>
          <w:sz w:val="24"/>
          <w:szCs w:val="24"/>
          <w:lang w:val="en-AU"/>
        </w:rPr>
      </w:pPr>
      <w:r w:rsidRPr="00B2507D">
        <w:rPr>
          <w:sz w:val="24"/>
          <w:szCs w:val="24"/>
          <w:lang w:val="en-AU"/>
        </w:rPr>
        <w:t>T. Yamada, N. Kimizuka, H. Zhou</w:t>
      </w:r>
      <w:r w:rsidR="00D1677E">
        <w:rPr>
          <w:rFonts w:hint="eastAsia"/>
          <w:sz w:val="24"/>
          <w:szCs w:val="24"/>
          <w:lang w:val="en-AU" w:eastAsia="ja-JP"/>
        </w:rPr>
        <w:t xml:space="preserve"> et al.</w:t>
      </w:r>
      <w:r w:rsidRPr="00B2507D">
        <w:rPr>
          <w:sz w:val="24"/>
          <w:szCs w:val="24"/>
          <w:lang w:val="en-AU"/>
        </w:rPr>
        <w:t>,</w:t>
      </w:r>
      <w:r>
        <w:rPr>
          <w:rFonts w:hint="eastAsia"/>
          <w:sz w:val="24"/>
          <w:szCs w:val="24"/>
          <w:lang w:val="en-AU" w:eastAsia="ja-JP"/>
        </w:rPr>
        <w:t xml:space="preserve"> </w:t>
      </w:r>
      <w:r w:rsidRPr="00B2507D">
        <w:rPr>
          <w:i/>
          <w:iCs/>
          <w:sz w:val="24"/>
          <w:szCs w:val="24"/>
          <w:lang w:val="en-AU"/>
        </w:rPr>
        <w:t>Sustain. Energy Fuels</w:t>
      </w:r>
      <w:r w:rsidRPr="00B2507D">
        <w:rPr>
          <w:sz w:val="24"/>
          <w:szCs w:val="24"/>
          <w:lang w:val="en-AU"/>
        </w:rPr>
        <w:t xml:space="preserve">, </w:t>
      </w:r>
      <w:r w:rsidRPr="00B2507D">
        <w:rPr>
          <w:rFonts w:hint="eastAsia"/>
          <w:b/>
          <w:bCs/>
          <w:sz w:val="24"/>
          <w:szCs w:val="24"/>
          <w:lang w:val="en-AU" w:eastAsia="ja-JP"/>
        </w:rPr>
        <w:t>2024</w:t>
      </w:r>
      <w:r>
        <w:rPr>
          <w:rFonts w:hint="eastAsia"/>
          <w:sz w:val="24"/>
          <w:szCs w:val="24"/>
          <w:lang w:val="en-AU" w:eastAsia="ja-JP"/>
        </w:rPr>
        <w:t xml:space="preserve">, </w:t>
      </w:r>
      <w:r w:rsidRPr="00B2507D">
        <w:rPr>
          <w:i/>
          <w:iCs/>
          <w:sz w:val="24"/>
          <w:szCs w:val="24"/>
          <w:lang w:val="en-AU"/>
        </w:rPr>
        <w:t>8</w:t>
      </w:r>
      <w:r w:rsidRPr="00B2507D">
        <w:rPr>
          <w:sz w:val="24"/>
          <w:szCs w:val="24"/>
          <w:lang w:val="en-AU"/>
        </w:rPr>
        <w:t>, 684.</w:t>
      </w:r>
    </w:p>
    <w:p w:rsidR="00B2507D" w:rsidRDefault="00B2507D">
      <w:pPr>
        <w:numPr>
          <w:ilvl w:val="0"/>
          <w:numId w:val="2"/>
        </w:numPr>
        <w:rPr>
          <w:sz w:val="24"/>
          <w:szCs w:val="24"/>
          <w:lang w:val="en-AU"/>
        </w:rPr>
      </w:pPr>
      <w:r w:rsidRPr="00B2507D">
        <w:rPr>
          <w:sz w:val="24"/>
          <w:szCs w:val="24"/>
          <w:lang w:val="en-AU"/>
        </w:rPr>
        <w:t>H. Inoue, H. Zhou, H. Ando, S. Nakagawa, T. Yamada,</w:t>
      </w:r>
      <w:r>
        <w:rPr>
          <w:rFonts w:hint="eastAsia"/>
          <w:sz w:val="24"/>
          <w:szCs w:val="24"/>
          <w:lang w:val="en-AU" w:eastAsia="ja-JP"/>
        </w:rPr>
        <w:t xml:space="preserve"> </w:t>
      </w:r>
      <w:r w:rsidRPr="00B2507D">
        <w:rPr>
          <w:i/>
          <w:iCs/>
          <w:sz w:val="24"/>
          <w:szCs w:val="24"/>
          <w:lang w:val="en-AU"/>
        </w:rPr>
        <w:t>Chem. Sci.</w:t>
      </w:r>
      <w:r w:rsidRPr="00B2507D">
        <w:rPr>
          <w:sz w:val="24"/>
          <w:szCs w:val="24"/>
          <w:lang w:val="en-AU"/>
        </w:rPr>
        <w:t xml:space="preserve">, </w:t>
      </w:r>
      <w:r w:rsidRPr="00B2507D">
        <w:rPr>
          <w:rFonts w:hint="eastAsia"/>
          <w:b/>
          <w:bCs/>
          <w:sz w:val="24"/>
          <w:szCs w:val="24"/>
          <w:lang w:val="en-AU" w:eastAsia="ja-JP"/>
        </w:rPr>
        <w:t>2023</w:t>
      </w:r>
      <w:r>
        <w:rPr>
          <w:rFonts w:hint="eastAsia"/>
          <w:sz w:val="24"/>
          <w:szCs w:val="24"/>
          <w:lang w:val="en-AU" w:eastAsia="ja-JP"/>
        </w:rPr>
        <w:t xml:space="preserve">, </w:t>
      </w:r>
      <w:r w:rsidRPr="00B2507D">
        <w:rPr>
          <w:i/>
          <w:iCs/>
          <w:sz w:val="24"/>
          <w:szCs w:val="24"/>
          <w:lang w:val="en-AU"/>
        </w:rPr>
        <w:t>15</w:t>
      </w:r>
      <w:r w:rsidRPr="00B2507D">
        <w:rPr>
          <w:sz w:val="24"/>
          <w:szCs w:val="24"/>
          <w:lang w:val="en-AU"/>
        </w:rPr>
        <w:t>, 146.</w:t>
      </w:r>
    </w:p>
    <w:p w:rsidR="00D1677E" w:rsidRPr="00D1677E" w:rsidRDefault="00D1677E">
      <w:pPr>
        <w:numPr>
          <w:ilvl w:val="0"/>
          <w:numId w:val="2"/>
        </w:numPr>
        <w:rPr>
          <w:sz w:val="24"/>
          <w:szCs w:val="24"/>
          <w:lang w:val="en-AU"/>
        </w:rPr>
      </w:pPr>
      <w:r w:rsidRPr="00D1677E">
        <w:rPr>
          <w:sz w:val="24"/>
          <w:szCs w:val="24"/>
          <w:lang w:val="en-AU"/>
        </w:rPr>
        <w:t>N. F. Antariksa, T. Yamada, N. Kimizuka,</w:t>
      </w:r>
      <w:r>
        <w:rPr>
          <w:rFonts w:hint="eastAsia"/>
          <w:sz w:val="24"/>
          <w:szCs w:val="24"/>
          <w:lang w:val="en-AU" w:eastAsia="ja-JP"/>
        </w:rPr>
        <w:t xml:space="preserve"> </w:t>
      </w:r>
      <w:r w:rsidRPr="00D1677E">
        <w:rPr>
          <w:i/>
          <w:iCs/>
          <w:sz w:val="24"/>
          <w:szCs w:val="24"/>
          <w:lang w:val="en-AU"/>
        </w:rPr>
        <w:t>Sci. Rep.</w:t>
      </w:r>
      <w:r w:rsidRPr="00D1677E">
        <w:rPr>
          <w:sz w:val="24"/>
          <w:szCs w:val="24"/>
          <w:lang w:val="en-AU"/>
        </w:rPr>
        <w:t xml:space="preserve">, </w:t>
      </w:r>
      <w:r w:rsidRPr="00D1677E">
        <w:rPr>
          <w:rFonts w:hint="eastAsia"/>
          <w:b/>
          <w:bCs/>
          <w:sz w:val="24"/>
          <w:szCs w:val="24"/>
          <w:lang w:val="en-AU" w:eastAsia="ja-JP"/>
        </w:rPr>
        <w:t>2021</w:t>
      </w:r>
      <w:r>
        <w:rPr>
          <w:rFonts w:hint="eastAsia"/>
          <w:sz w:val="24"/>
          <w:szCs w:val="24"/>
          <w:lang w:val="en-AU" w:eastAsia="ja-JP"/>
        </w:rPr>
        <w:t xml:space="preserve">, </w:t>
      </w:r>
      <w:r w:rsidRPr="00D1677E">
        <w:rPr>
          <w:i/>
          <w:iCs/>
          <w:sz w:val="24"/>
          <w:szCs w:val="24"/>
          <w:lang w:val="en-AU"/>
        </w:rPr>
        <w:t>11</w:t>
      </w:r>
      <w:r w:rsidRPr="00D1677E">
        <w:rPr>
          <w:sz w:val="24"/>
          <w:szCs w:val="24"/>
          <w:lang w:val="en-AU"/>
        </w:rPr>
        <w:t>, 11929.</w:t>
      </w:r>
    </w:p>
    <w:p w:rsidR="00936D3A" w:rsidRPr="003F5A9A" w:rsidRDefault="00B2507D" w:rsidP="00134D86">
      <w:pPr>
        <w:numPr>
          <w:ilvl w:val="0"/>
          <w:numId w:val="2"/>
        </w:numPr>
        <w:ind w:left="284" w:hanging="284"/>
        <w:rPr>
          <w:sz w:val="24"/>
          <w:szCs w:val="24"/>
          <w:lang w:val="en-AU"/>
        </w:rPr>
      </w:pPr>
      <w:r w:rsidRPr="003F5A9A">
        <w:rPr>
          <w:sz w:val="24"/>
          <w:szCs w:val="24"/>
          <w:lang w:val="en-AU"/>
        </w:rPr>
        <w:t>H. Zhou, T. Yamada</w:t>
      </w:r>
      <w:r w:rsidR="00D1677E" w:rsidRPr="003F5A9A">
        <w:rPr>
          <w:rFonts w:hint="eastAsia"/>
          <w:sz w:val="24"/>
          <w:szCs w:val="24"/>
          <w:lang w:val="en-AU" w:eastAsia="ja-JP"/>
        </w:rPr>
        <w:t xml:space="preserve"> et al.</w:t>
      </w:r>
      <w:r w:rsidRPr="003F5A9A">
        <w:rPr>
          <w:sz w:val="24"/>
          <w:szCs w:val="24"/>
          <w:lang w:val="en-AU"/>
        </w:rPr>
        <w:t xml:space="preserve">, </w:t>
      </w:r>
      <w:r w:rsidRPr="003F5A9A">
        <w:rPr>
          <w:i/>
          <w:iCs/>
          <w:sz w:val="24"/>
          <w:szCs w:val="24"/>
          <w:lang w:val="en-AU"/>
        </w:rPr>
        <w:t>J. Power Sources</w:t>
      </w:r>
      <w:r w:rsidRPr="003F5A9A">
        <w:rPr>
          <w:sz w:val="24"/>
          <w:szCs w:val="24"/>
          <w:lang w:val="en-AU"/>
        </w:rPr>
        <w:t xml:space="preserve">, </w:t>
      </w:r>
      <w:r w:rsidRPr="003F5A9A">
        <w:rPr>
          <w:rFonts w:hint="eastAsia"/>
          <w:b/>
          <w:bCs/>
          <w:sz w:val="24"/>
          <w:szCs w:val="24"/>
          <w:lang w:val="en-AU" w:eastAsia="ja-JP"/>
        </w:rPr>
        <w:t>20</w:t>
      </w:r>
      <w:r w:rsidR="003F5A9A" w:rsidRPr="003F5A9A">
        <w:rPr>
          <w:rFonts w:hint="eastAsia"/>
          <w:b/>
          <w:bCs/>
          <w:sz w:val="24"/>
          <w:szCs w:val="24"/>
          <w:lang w:val="en-AU" w:eastAsia="ja-JP"/>
        </w:rPr>
        <w:t>2</w:t>
      </w:r>
      <w:r w:rsidRPr="003F5A9A">
        <w:rPr>
          <w:rFonts w:hint="eastAsia"/>
          <w:b/>
          <w:bCs/>
          <w:sz w:val="24"/>
          <w:szCs w:val="24"/>
          <w:lang w:val="en-AU" w:eastAsia="ja-JP"/>
        </w:rPr>
        <w:t>4</w:t>
      </w:r>
      <w:r w:rsidRPr="003F5A9A">
        <w:rPr>
          <w:rFonts w:hint="eastAsia"/>
          <w:sz w:val="24"/>
          <w:szCs w:val="24"/>
          <w:lang w:val="en-AU" w:eastAsia="ja-JP"/>
        </w:rPr>
        <w:t xml:space="preserve">, </w:t>
      </w:r>
      <w:r w:rsidRPr="003F5A9A">
        <w:rPr>
          <w:i/>
          <w:iCs/>
          <w:sz w:val="24"/>
          <w:szCs w:val="24"/>
          <w:lang w:val="en-AU"/>
        </w:rPr>
        <w:t>614</w:t>
      </w:r>
      <w:r w:rsidRPr="003F5A9A">
        <w:rPr>
          <w:sz w:val="24"/>
          <w:szCs w:val="24"/>
          <w:lang w:val="en-AU"/>
        </w:rPr>
        <w:t>, 235048.</w:t>
      </w:r>
      <w:r w:rsidR="000F1B7C" w:rsidRPr="003F5A9A">
        <w:rPr>
          <w:sz w:val="24"/>
          <w:szCs w:val="24"/>
          <w:lang w:val="en-AU"/>
        </w:rPr>
        <w:t xml:space="preserve"> </w:t>
      </w:r>
    </w:p>
    <w:sectPr w:rsidR="00936D3A" w:rsidRPr="003F5A9A" w:rsidSect="008A39B5">
      <w:footnotePr>
        <w:numRestart w:val="eachSect"/>
      </w:footnotePr>
      <w:endnotePr>
        <w:numFmt w:val="decimal"/>
      </w:endnotePr>
      <w:pgSz w:w="11907" w:h="16840" w:code="9"/>
      <w:pgMar w:top="1985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A7" w:rsidRDefault="00B712A7" w:rsidP="00930676">
      <w:r>
        <w:separator/>
      </w:r>
    </w:p>
  </w:endnote>
  <w:endnote w:type="continuationSeparator" w:id="0">
    <w:p w:rsidR="00B712A7" w:rsidRDefault="00B712A7" w:rsidP="0093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A7" w:rsidRDefault="00B712A7" w:rsidP="00930676">
      <w:r>
        <w:separator/>
      </w:r>
    </w:p>
  </w:footnote>
  <w:footnote w:type="continuationSeparator" w:id="0">
    <w:p w:rsidR="00B712A7" w:rsidRDefault="00B712A7" w:rsidP="0093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F24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50B09"/>
    <w:multiLevelType w:val="hybridMultilevel"/>
    <w:tmpl w:val="13F64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counts Chemical Re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325004"/>
    <w:rsid w:val="00004AA5"/>
    <w:rsid w:val="000310D4"/>
    <w:rsid w:val="000D266D"/>
    <w:rsid w:val="000F1B7C"/>
    <w:rsid w:val="001056C2"/>
    <w:rsid w:val="00190D6E"/>
    <w:rsid w:val="001D3238"/>
    <w:rsid w:val="001F320E"/>
    <w:rsid w:val="00205F6A"/>
    <w:rsid w:val="00247D2E"/>
    <w:rsid w:val="002A72BC"/>
    <w:rsid w:val="002D6E95"/>
    <w:rsid w:val="003F5A9A"/>
    <w:rsid w:val="004250FE"/>
    <w:rsid w:val="0047188F"/>
    <w:rsid w:val="004A7161"/>
    <w:rsid w:val="004D4415"/>
    <w:rsid w:val="00510A1C"/>
    <w:rsid w:val="005A4693"/>
    <w:rsid w:val="00606626"/>
    <w:rsid w:val="00690658"/>
    <w:rsid w:val="007D135B"/>
    <w:rsid w:val="007E2F77"/>
    <w:rsid w:val="00802F12"/>
    <w:rsid w:val="00832A61"/>
    <w:rsid w:val="008A39B5"/>
    <w:rsid w:val="008B7FB0"/>
    <w:rsid w:val="00930676"/>
    <w:rsid w:val="00936D3A"/>
    <w:rsid w:val="009A076E"/>
    <w:rsid w:val="009D59EA"/>
    <w:rsid w:val="009E476A"/>
    <w:rsid w:val="00A45BA5"/>
    <w:rsid w:val="00A73129"/>
    <w:rsid w:val="00AC7DD9"/>
    <w:rsid w:val="00B2507D"/>
    <w:rsid w:val="00B339A6"/>
    <w:rsid w:val="00B5014F"/>
    <w:rsid w:val="00B712A7"/>
    <w:rsid w:val="00BB6929"/>
    <w:rsid w:val="00BF2ACF"/>
    <w:rsid w:val="00C30834"/>
    <w:rsid w:val="00C45D59"/>
    <w:rsid w:val="00CE2A94"/>
    <w:rsid w:val="00CE2E07"/>
    <w:rsid w:val="00D1677E"/>
    <w:rsid w:val="00D44C1F"/>
    <w:rsid w:val="00DA5CEA"/>
    <w:rsid w:val="00E85750"/>
    <w:rsid w:val="00EA300B"/>
    <w:rsid w:val="00EA5F2D"/>
    <w:rsid w:val="00EC3CC7"/>
    <w:rsid w:val="00F208D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5B3C3"/>
  <w15:chartTrackingRefBased/>
  <w15:docId w15:val="{8FF53215-C558-4802-AC09-9D84F85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ferences">
    <w:name w:val="References"/>
    <w:basedOn w:val="a"/>
    <w:rsid w:val="006042E8"/>
    <w:pPr>
      <w:widowControl/>
      <w:tabs>
        <w:tab w:val="left" w:pos="288"/>
      </w:tabs>
      <w:ind w:left="288" w:hanging="288"/>
      <w:jc w:val="both"/>
    </w:pPr>
    <w:rPr>
      <w:rFonts w:ascii="Times" w:hAnsi="Times"/>
      <w:snapToGrid/>
      <w:color w:val="000000"/>
      <w:lang w:val="fr-FR"/>
    </w:rPr>
  </w:style>
  <w:style w:type="paragraph" w:customStyle="1" w:styleId="TextNormal">
    <w:name w:val="Text_Normal"/>
    <w:basedOn w:val="a"/>
    <w:rsid w:val="006042E8"/>
    <w:pPr>
      <w:widowControl/>
      <w:jc w:val="both"/>
    </w:pPr>
    <w:rPr>
      <w:rFonts w:ascii="Times" w:hAnsi="Times"/>
      <w:snapToGrid/>
      <w:lang w:val="fr-FR"/>
    </w:rPr>
  </w:style>
  <w:style w:type="paragraph" w:styleId="a3">
    <w:name w:val="header"/>
    <w:basedOn w:val="a"/>
    <w:link w:val="a4"/>
    <w:rsid w:val="00930676"/>
    <w:pPr>
      <w:tabs>
        <w:tab w:val="center" w:pos="4513"/>
        <w:tab w:val="right" w:pos="9026"/>
      </w:tabs>
    </w:pPr>
  </w:style>
  <w:style w:type="character" w:customStyle="1" w:styleId="a4">
    <w:name w:val="ヘッダー (文字)"/>
    <w:link w:val="a3"/>
    <w:rsid w:val="00930676"/>
    <w:rPr>
      <w:snapToGrid w:val="0"/>
      <w:lang w:val="en-US" w:eastAsia="en-US"/>
    </w:rPr>
  </w:style>
  <w:style w:type="paragraph" w:styleId="a5">
    <w:name w:val="footer"/>
    <w:basedOn w:val="a"/>
    <w:link w:val="a6"/>
    <w:rsid w:val="00930676"/>
    <w:pPr>
      <w:tabs>
        <w:tab w:val="center" w:pos="4513"/>
        <w:tab w:val="right" w:pos="9026"/>
      </w:tabs>
    </w:pPr>
  </w:style>
  <w:style w:type="character" w:customStyle="1" w:styleId="a6">
    <w:name w:val="フッター (文字)"/>
    <w:link w:val="a5"/>
    <w:rsid w:val="00930676"/>
    <w:rPr>
      <w:snapToGrid w:val="0"/>
      <w:lang w:val="en-US" w:eastAsia="en-US"/>
    </w:rPr>
  </w:style>
  <w:style w:type="character" w:styleId="a7">
    <w:name w:val="Hyperlink"/>
    <w:uiPriority w:val="99"/>
    <w:unhideWhenUsed/>
    <w:rsid w:val="00BF2ACF"/>
    <w:rPr>
      <w:color w:val="0000FF"/>
      <w:u w:val="single"/>
    </w:rPr>
  </w:style>
  <w:style w:type="paragraph" w:styleId="a8">
    <w:name w:val="Balloon Text"/>
    <w:basedOn w:val="a"/>
    <w:link w:val="a9"/>
    <w:rsid w:val="00205F6A"/>
    <w:rPr>
      <w:rFonts w:ascii="Lucida Grande" w:hAnsi="Lucida Grande" w:cs="Lucida Grande"/>
      <w:sz w:val="18"/>
      <w:szCs w:val="18"/>
    </w:rPr>
  </w:style>
  <w:style w:type="character" w:customStyle="1" w:styleId="a9">
    <w:name w:val="吹き出し (文字)"/>
    <w:link w:val="a8"/>
    <w:rsid w:val="00205F6A"/>
    <w:rPr>
      <w:rFonts w:ascii="Lucida Grande" w:hAnsi="Lucida Grande" w:cs="Lucida Grande"/>
      <w:snapToGrid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Electrochemical Society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cp:lastModifiedBy>teppei yamada</cp:lastModifiedBy>
  <cp:revision>3</cp:revision>
  <cp:lastPrinted>2013-03-22T06:47:00Z</cp:lastPrinted>
  <dcterms:created xsi:type="dcterms:W3CDTF">2025-02-08T12:06:00Z</dcterms:created>
  <dcterms:modified xsi:type="dcterms:W3CDTF">2025-02-08T12:11:00Z</dcterms:modified>
</cp:coreProperties>
</file>